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</w:t>
            </w:r>
            <w:r w:rsidR="0097092A">
              <w:rPr>
                <w:b/>
                <w:lang w:val="en-US"/>
              </w:rPr>
              <w:t>ombre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D215B3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Tipología</w:t>
            </w:r>
            <w:proofErr w:type="spellEnd"/>
            <w:r>
              <w:rPr>
                <w:b/>
                <w:lang w:val="en-US"/>
              </w:rPr>
              <w:t xml:space="preserve"> MSCA </w:t>
            </w:r>
            <w:r w:rsidR="00B26B34">
              <w:rPr>
                <w:b/>
                <w:lang w:val="en-US"/>
              </w:rPr>
              <w:t>Staff Exchanges</w:t>
            </w:r>
            <w:r w:rsidR="0054442A">
              <w:rPr>
                <w:rStyle w:val="Refdenotaalpie"/>
                <w:b/>
                <w:lang w:val="en-US"/>
              </w:rPr>
              <w:footnoteReference w:id="1"/>
            </w:r>
          </w:p>
        </w:tc>
        <w:tc>
          <w:tcPr>
            <w:tcW w:w="6945" w:type="dxa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Pr="00D10190">
        <w:rPr>
          <w:i/>
        </w:rPr>
        <w:t>Antes de empezar, rellene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F2058E" w:rsidRPr="00330FED" w:rsidRDefault="00330FED" w:rsidP="00333765">
      <w:pPr>
        <w:pStyle w:val="Prrafodelista"/>
        <w:numPr>
          <w:ilvl w:val="0"/>
          <w:numId w:val="3"/>
        </w:numPr>
        <w:rPr>
          <w:b/>
        </w:rPr>
      </w:pPr>
      <w:r w:rsidRPr="00330FED">
        <w:rPr>
          <w:b/>
        </w:rPr>
        <w:t>Definir la i</w:t>
      </w:r>
      <w:r w:rsidR="00EC0F86" w:rsidRPr="00330FED">
        <w:rPr>
          <w:b/>
        </w:rPr>
        <w:t xml:space="preserve">dea del </w:t>
      </w:r>
      <w:r w:rsidRPr="00330FED">
        <w:rPr>
          <w:b/>
        </w:rPr>
        <w:t>p</w:t>
      </w:r>
      <w:r w:rsidR="00E1452F">
        <w:rPr>
          <w:b/>
        </w:rPr>
        <w:t>r</w:t>
      </w:r>
      <w:r w:rsidR="00EC0F86" w:rsidRPr="00330FED">
        <w:rPr>
          <w:b/>
        </w:rPr>
        <w:t>oyecto</w:t>
      </w:r>
      <w:r w:rsidR="00F2058E" w:rsidRPr="00330FED">
        <w:rPr>
          <w:b/>
        </w:rPr>
        <w:t xml:space="preserve"> </w:t>
      </w:r>
    </w:p>
    <w:p w:rsidR="00EC1DD9" w:rsidRPr="00E26BBF" w:rsidRDefault="00330FED" w:rsidP="00EC1DD9">
      <w:pPr>
        <w:shd w:val="clear" w:color="auto" w:fill="E7E6E6" w:themeFill="background2"/>
        <w:spacing w:line="240" w:lineRule="auto"/>
        <w:jc w:val="both"/>
        <w:rPr>
          <w:i/>
        </w:rPr>
      </w:pPr>
      <w:bookmarkStart w:id="0" w:name="_Hlk109816974"/>
      <w:r w:rsidRPr="00E26BBF">
        <w:rPr>
          <w:i/>
        </w:rPr>
        <w:t xml:space="preserve">Teniendo en cuenta </w:t>
      </w:r>
      <w:r w:rsidR="00EC1DD9">
        <w:rPr>
          <w:i/>
        </w:rPr>
        <w:t>los objetivos la convocatoria</w:t>
      </w:r>
      <w:r w:rsidR="007C2FAD" w:rsidRPr="00E26BBF">
        <w:rPr>
          <w:i/>
        </w:rPr>
        <w:t xml:space="preserve"> MSCA</w:t>
      </w:r>
      <w:r w:rsidR="00EC1DD9">
        <w:rPr>
          <w:i/>
        </w:rPr>
        <w:t xml:space="preserve"> Staff </w:t>
      </w:r>
      <w:proofErr w:type="spellStart"/>
      <w:r w:rsidR="00EC1DD9">
        <w:rPr>
          <w:i/>
        </w:rPr>
        <w:t>Exchanges</w:t>
      </w:r>
      <w:proofErr w:type="spellEnd"/>
      <w:r w:rsidR="00EC1DD9">
        <w:rPr>
          <w:i/>
        </w:rPr>
        <w:t>.</w:t>
      </w:r>
      <w:r w:rsidR="007C2FAD" w:rsidRPr="00E26BBF">
        <w:rPr>
          <w:i/>
        </w:rPr>
        <w:t xml:space="preserve"> </w:t>
      </w:r>
    </w:p>
    <w:p w:rsidR="00EC0F86" w:rsidRPr="00E26BBF" w:rsidRDefault="00EC0F86" w:rsidP="00655210">
      <w:pPr>
        <w:shd w:val="clear" w:color="auto" w:fill="E7E6E6" w:themeFill="background2"/>
        <w:spacing w:line="240" w:lineRule="auto"/>
        <w:jc w:val="both"/>
        <w:rPr>
          <w:i/>
        </w:rPr>
      </w:pPr>
    </w:p>
    <w:bookmarkEnd w:id="0"/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r w:rsidRPr="00CE6812">
        <w:rPr>
          <w:b/>
          <w:i/>
        </w:rPr>
        <w:t xml:space="preserve">Desarrollar en que se benefician los </w:t>
      </w:r>
      <w:proofErr w:type="spellStart"/>
      <w:r w:rsidR="00EC1DD9" w:rsidRPr="00EC1DD9">
        <w:rPr>
          <w:b/>
          <w:i/>
        </w:rPr>
        <w:t>los</w:t>
      </w:r>
      <w:proofErr w:type="spellEnd"/>
      <w:r w:rsidR="00EC1DD9" w:rsidRPr="00EC1DD9">
        <w:rPr>
          <w:b/>
          <w:i/>
        </w:rPr>
        <w:t xml:space="preserve"> miembros del personal</w:t>
      </w:r>
      <w:r w:rsidR="00EC1DD9">
        <w:rPr>
          <w:b/>
          <w:i/>
        </w:rPr>
        <w:t xml:space="preserve"> en</w:t>
      </w:r>
      <w:r w:rsidR="0054442A" w:rsidRPr="00CE6812">
        <w:rPr>
          <w:b/>
          <w:i/>
        </w:rPr>
        <w:t xml:space="preserve">: </w:t>
      </w:r>
    </w:p>
    <w:p w:rsidR="00EC1DD9" w:rsidRPr="00EC1DD9" w:rsidRDefault="00EC1DD9" w:rsidP="00895A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Mayor conjunto de competencias y habilidades en investigación y</w:t>
      </w:r>
      <w:r w:rsidRPr="00EC1DD9">
        <w:rPr>
          <w:i/>
          <w:sz w:val="20"/>
        </w:rPr>
        <w:t xml:space="preserve"> </w:t>
      </w:r>
      <w:r w:rsidRPr="00EC1DD9">
        <w:rPr>
          <w:i/>
          <w:sz w:val="20"/>
        </w:rPr>
        <w:t>habilidades transferibles, lo que conlleva una mejor empleabilidad y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perspectivas de carrera dentro y fuera del ámbito académico;</w:t>
      </w:r>
    </w:p>
    <w:p w:rsidR="00EC1DD9" w:rsidRPr="00EC1DD9" w:rsidRDefault="00EC1DD9" w:rsidP="00EC1DD9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Más conocimiento e ideas innovadoras transformadas en productos,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procesos y servicios;</w:t>
      </w:r>
    </w:p>
    <w:p w:rsidR="00EC1DD9" w:rsidRPr="00EC1DD9" w:rsidRDefault="00EC1DD9" w:rsidP="006313EA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Mentalidad más emprendedora, probando ideas nuevas e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innovadoras;</w:t>
      </w:r>
    </w:p>
    <w:p w:rsidR="00EC1DD9" w:rsidRPr="00EC1DD9" w:rsidRDefault="00EC1DD9" w:rsidP="00EC1DD9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Mayor exposición internacional que conduzca a redes ampliadas y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nuevas oportunidades;</w:t>
      </w:r>
    </w:p>
    <w:p w:rsidR="00330FED" w:rsidRDefault="00EC1DD9" w:rsidP="005D54B5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</w:pPr>
      <w:r w:rsidRPr="00EC1DD9">
        <w:rPr>
          <w:i/>
          <w:sz w:val="20"/>
        </w:rPr>
        <w:t>Capacidades mejoradas de comunicación y establecimiento de redes</w:t>
      </w:r>
      <w:r w:rsidRPr="00EC1DD9">
        <w:rPr>
          <w:i/>
          <w:sz w:val="20"/>
        </w:rPr>
        <w:t xml:space="preserve"> </w:t>
      </w:r>
      <w:r w:rsidRPr="00EC1DD9">
        <w:rPr>
          <w:i/>
          <w:sz w:val="20"/>
        </w:rPr>
        <w:t>tanto con “pares” científicos como con el público en general, lo que</w:t>
      </w:r>
      <w:r w:rsidRPr="00EC1DD9">
        <w:rPr>
          <w:i/>
          <w:sz w:val="20"/>
        </w:rPr>
        <w:t xml:space="preserve"> </w:t>
      </w:r>
      <w:r w:rsidRPr="00EC1DD9">
        <w:rPr>
          <w:i/>
          <w:sz w:val="20"/>
        </w:rPr>
        <w:t xml:space="preserve">incrementará y ampliará el impacto de la investigación y la </w:t>
      </w:r>
      <w:r w:rsidRPr="00EC1DD9">
        <w:rPr>
          <w:i/>
          <w:sz w:val="20"/>
        </w:rPr>
        <w:t xml:space="preserve"> i</w:t>
      </w:r>
      <w:r w:rsidRPr="00EC1DD9">
        <w:rPr>
          <w:i/>
          <w:sz w:val="20"/>
        </w:rPr>
        <w:t>nnovación</w:t>
      </w:r>
      <w:r>
        <w:rPr>
          <w:i/>
          <w:sz w:val="20"/>
        </w:rPr>
        <w:t>.</w:t>
      </w: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bookmarkStart w:id="1" w:name="_GoBack"/>
      <w:bookmarkEnd w:id="1"/>
      <w:r w:rsidRPr="00CE6812">
        <w:rPr>
          <w:b/>
        </w:rPr>
        <w:t xml:space="preserve">Desarrollar en que se benefician </w:t>
      </w:r>
      <w:r w:rsidR="0054442A" w:rsidRPr="00CE6812">
        <w:rPr>
          <w:b/>
        </w:rPr>
        <w:t xml:space="preserve">las organizaciones participantes, </w:t>
      </w:r>
      <w:r w:rsidRPr="00CE6812">
        <w:rPr>
          <w:b/>
        </w:rPr>
        <w:t>en</w:t>
      </w:r>
      <w:r w:rsidR="0054442A" w:rsidRPr="00CE6812">
        <w:rPr>
          <w:b/>
        </w:rPr>
        <w:t>:</w:t>
      </w:r>
    </w:p>
    <w:p w:rsidR="00EC1DD9" w:rsidRPr="00EC1DD9" w:rsidRDefault="00EC1DD9" w:rsidP="00EC1DD9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Formas innovadoras de cooperación y transferencia de conocimientos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entre sectores y disciplinas;</w:t>
      </w:r>
    </w:p>
    <w:p w:rsidR="00EC1DD9" w:rsidRPr="00EC1DD9" w:rsidRDefault="00EC1DD9" w:rsidP="00EC1DD9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Redes de colaboración internacionales, intersectoriales e</w:t>
      </w:r>
      <w:r>
        <w:rPr>
          <w:i/>
          <w:sz w:val="20"/>
        </w:rPr>
        <w:t xml:space="preserve"> </w:t>
      </w:r>
      <w:r w:rsidRPr="00EC1DD9">
        <w:rPr>
          <w:i/>
          <w:sz w:val="20"/>
        </w:rPr>
        <w:t>interdisciplinares más sólidas y amplias;</w:t>
      </w:r>
    </w:p>
    <w:p w:rsidR="00EC1DD9" w:rsidRPr="00EC1DD9" w:rsidRDefault="00EC1DD9" w:rsidP="00EC1DD9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EC1DD9">
        <w:rPr>
          <w:i/>
          <w:sz w:val="20"/>
        </w:rPr>
        <w:t>Capacidad de I+D+i fortalecida.</w:t>
      </w:r>
    </w:p>
    <w:p w:rsidR="00330FED" w:rsidRDefault="00330FED" w:rsidP="00E26BBF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F2058E" w:rsidRPr="00333765" w:rsidRDefault="00330FED" w:rsidP="00E26BBF">
      <w:pPr>
        <w:pStyle w:val="Prrafodelista"/>
        <w:numPr>
          <w:ilvl w:val="0"/>
          <w:numId w:val="14"/>
        </w:numPr>
        <w:rPr>
          <w:b/>
          <w:lang w:val="en-US"/>
        </w:rPr>
      </w:pPr>
      <w:proofErr w:type="spellStart"/>
      <w:r>
        <w:rPr>
          <w:b/>
          <w:lang w:val="en-US"/>
        </w:rPr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CB037C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t xml:space="preserve">Implicar a todos los actores clave necesarios para tener </w:t>
      </w:r>
      <w:r w:rsidR="00B117FD">
        <w:rPr>
          <w:i/>
        </w:rPr>
        <w:t xml:space="preserve">adecuarse a la </w:t>
      </w:r>
      <w:proofErr w:type="gramStart"/>
      <w:r w:rsidR="00B117FD">
        <w:rPr>
          <w:i/>
        </w:rPr>
        <w:t>convocatoria.</w:t>
      </w:r>
      <w:r w:rsidR="00CE6812">
        <w:rPr>
          <w:i/>
        </w:rPr>
        <w:t>(</w:t>
      </w:r>
      <w:proofErr w:type="gramEnd"/>
      <w:r w:rsidR="00CE6812">
        <w:rPr>
          <w:i/>
        </w:rPr>
        <w:t>si no se dispone de consorcio como tal, especificar que tipo de socios serían los ideales)</w:t>
      </w: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</w:t>
      </w:r>
      <w:r w:rsidRPr="006B00ED">
        <w:rPr>
          <w:i/>
          <w:sz w:val="20"/>
          <w:szCs w:val="20"/>
          <w:lang w:val="en-US"/>
        </w:rPr>
        <w:lastRenderedPageBreak/>
        <w:t>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  <w:footnote w:id="1">
    <w:p w:rsidR="0054442A" w:rsidRDefault="0054442A" w:rsidP="00CE6812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9F5BA6">
      <w:t xml:space="preserve">MSCA </w:t>
    </w:r>
    <w:r w:rsidR="00EC1DD9">
      <w:t>SE</w:t>
    </w:r>
    <w:r w:rsidR="00024396">
      <w:t xml:space="preserve"> 202</w:t>
    </w:r>
    <w:r w:rsidR="006D3AB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F76DA"/>
    <w:rsid w:val="002001E3"/>
    <w:rsid w:val="002318D4"/>
    <w:rsid w:val="00270E0C"/>
    <w:rsid w:val="00290380"/>
    <w:rsid w:val="002A40B6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90CC0"/>
    <w:rsid w:val="006B00ED"/>
    <w:rsid w:val="006D3AB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26B34"/>
    <w:rsid w:val="00B74E9D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C0F86"/>
    <w:rsid w:val="00EC1DD9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4DD31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9632-003A-4498-A01E-5585F688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Rocío</cp:lastModifiedBy>
  <cp:revision>2</cp:revision>
  <dcterms:created xsi:type="dcterms:W3CDTF">2025-07-17T09:47:00Z</dcterms:created>
  <dcterms:modified xsi:type="dcterms:W3CDTF">2025-07-17T09:47:00Z</dcterms:modified>
</cp:coreProperties>
</file>